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D27FC6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Freischneider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D27FC6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D27FC6">
              <w:rPr>
                <w:b w:val="0"/>
                <w:sz w:val="28"/>
                <w:szCs w:val="28"/>
              </w:rPr>
              <w:t>dem Freischneider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1821AB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4E1D43" wp14:editId="65C55E57">
                  <wp:extent cx="371475" cy="325041"/>
                  <wp:effectExtent l="0" t="0" r="0" b="0"/>
                  <wp:docPr id="1" name="Grafik 1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4" cy="32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2FB05" wp14:editId="4784D89D">
                  <wp:extent cx="466725" cy="466725"/>
                  <wp:effectExtent l="0" t="0" r="9525" b="9525"/>
                  <wp:docPr id="5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D7C23" w:rsidRPr="008D7C23" w:rsidRDefault="008D7C23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D7C23">
              <w:rPr>
                <w:sz w:val="20"/>
              </w:rPr>
              <w:t>Gefahren durch den Aufenthalt im Gefahrenbereich</w:t>
            </w:r>
          </w:p>
          <w:p w:rsidR="008D7C23" w:rsidRPr="008D7C23" w:rsidRDefault="008D7C23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D7C23">
              <w:rPr>
                <w:sz w:val="20"/>
              </w:rPr>
              <w:t xml:space="preserve">Gefahren durch rotierende, scharfe </w:t>
            </w:r>
            <w:r>
              <w:rPr>
                <w:sz w:val="20"/>
              </w:rPr>
              <w:t>Werkzeuge (Schnittverletzungen)</w:t>
            </w:r>
          </w:p>
          <w:p w:rsidR="008D7C23" w:rsidRPr="008D7C23" w:rsidRDefault="008D7C23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D7C23">
              <w:rPr>
                <w:sz w:val="20"/>
              </w:rPr>
              <w:t>Gefahren durch wegschleudernde Teile</w:t>
            </w:r>
          </w:p>
          <w:p w:rsidR="008D7C23" w:rsidRPr="008D7C23" w:rsidRDefault="008D7C23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Gefahren durch Lärm</w:t>
            </w:r>
          </w:p>
          <w:p w:rsidR="008D7C23" w:rsidRPr="008D7C23" w:rsidRDefault="008D7C23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Gefahren durch Abgase</w:t>
            </w:r>
          </w:p>
          <w:p w:rsidR="008D7C23" w:rsidRPr="00431DCB" w:rsidRDefault="008D7C23" w:rsidP="008D7C23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8D7C23">
              <w:rPr>
                <w:sz w:val="20"/>
              </w:rPr>
              <w:t>Gefahren durch Hand-Körpervibrationen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00C5A3" wp14:editId="68AAE22B">
                  <wp:extent cx="540000" cy="540000"/>
                  <wp:effectExtent l="0" t="0" r="0" b="0"/>
                  <wp:docPr id="7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C6874A" wp14:editId="1B40F61B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Default="00500252" w:rsidP="00F10DF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 wp14:anchorId="153A1304" wp14:editId="6FF833ED">
                  <wp:extent cx="606425" cy="606425"/>
                  <wp:effectExtent l="0" t="0" r="3175" b="3175"/>
                  <wp:docPr id="12" name="Grafik 12" descr="50x Gebotszeichen - M09 - Handschutz benutzen - selbstklebend - blau - 100 mm Durchmess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50x Gebotszeichen - M09 - Handschutz benutzen - selbstklebend - blau - 100 mm Durchmess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</w:rPr>
              <w:drawing>
                <wp:inline distT="0" distB="0" distL="0" distR="0" wp14:anchorId="63C7EEFD" wp14:editId="082849CA">
                  <wp:extent cx="561975" cy="561975"/>
                  <wp:effectExtent l="0" t="0" r="9525" b="9525"/>
                  <wp:docPr id="10" name="Grafik 10" descr="C:\Users\michele.ruschke\AppData\Local\Microsoft\Windows\INetCache\Content.MSO\DD43D2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DD43D2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252" w:rsidRPr="00E52B05" w:rsidRDefault="00500252" w:rsidP="00F10DF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673100" cy="673100"/>
                  <wp:effectExtent l="0" t="0" r="0" b="0"/>
                  <wp:docPr id="11" name="Grafik 11" descr="Aufkleber-Gesichtsschutz benutze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Aufkleber-Gesichtsschutz benutze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Die Unfallverhütungsvorschriften und die Betriebsanleitung d</w:t>
            </w:r>
            <w:r>
              <w:rPr>
                <w:sz w:val="20"/>
              </w:rPr>
              <w:t>es Herstellers sind zu beachten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Freischneider dürfen nur von eingew</w:t>
            </w:r>
            <w:r>
              <w:rPr>
                <w:sz w:val="20"/>
              </w:rPr>
              <w:t>iesenen Personen bedient werden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Personen unter 18 Jahren dürfen Freischneider nur zu Ausbildungszwecken und unter fach</w:t>
            </w:r>
            <w:r>
              <w:rPr>
                <w:sz w:val="20"/>
              </w:rPr>
              <w:t>kundiger Aufsicht bedienen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Personen unter 15 Jahren dürfen generell ni</w:t>
            </w:r>
            <w:r>
              <w:rPr>
                <w:sz w:val="20"/>
              </w:rPr>
              <w:t>cht mit Freischneidern arbeiten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Beim Betanken Sicherheitsfüllstut</w:t>
            </w:r>
            <w:r>
              <w:rPr>
                <w:sz w:val="20"/>
              </w:rPr>
              <w:t>zen verwenden und nicht rauchen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Benzola</w:t>
            </w:r>
            <w:r>
              <w:rPr>
                <w:sz w:val="20"/>
              </w:rPr>
              <w:t>rme Sonderkraftstoffe verwenden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 xml:space="preserve">Vor Arbeitsbeginn: Tragegurt auf Körpermaße einstellen, Werkzeuge und Schutzeinrichtungen </w:t>
            </w:r>
            <w:r>
              <w:rPr>
                <w:sz w:val="20"/>
              </w:rPr>
              <w:t>überprüfen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Beim Starten ist das Gerät</w:t>
            </w:r>
            <w:r>
              <w:rPr>
                <w:sz w:val="20"/>
              </w:rPr>
              <w:t xml:space="preserve"> fest abzustützen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Maschine mit beiden Händen führe</w:t>
            </w:r>
            <w:r>
              <w:rPr>
                <w:sz w:val="20"/>
              </w:rPr>
              <w:t>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Auf sicheren Stand achten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Beim Schneiden auf Fremdkö</w:t>
            </w:r>
            <w:r>
              <w:rPr>
                <w:sz w:val="20"/>
              </w:rPr>
              <w:t>rper achten und diese entfernen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Sicherheitsabstand einhalten (min. 5m, im öffentlichen Bereich min. 15m)</w:t>
            </w:r>
          </w:p>
          <w:p w:rsidR="00500252" w:rsidRPr="00500252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Maschine nur mi</w:t>
            </w:r>
            <w:r>
              <w:rPr>
                <w:sz w:val="20"/>
              </w:rPr>
              <w:t>t Werkzeugschutz transportieren</w:t>
            </w:r>
          </w:p>
          <w:p w:rsidR="00500252" w:rsidRPr="00431DCB" w:rsidRDefault="00500252" w:rsidP="00500252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Zug- und Druckverhältnisse im Holz beachten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500252" w:rsidRPr="00500252" w:rsidRDefault="00500252" w:rsidP="00500252">
            <w:pPr>
              <w:pStyle w:val="Textkrper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00252">
              <w:rPr>
                <w:sz w:val="20"/>
                <w:szCs w:val="20"/>
              </w:rPr>
              <w:t>Beim Beseitigen von Störungen Maschine abstellen und warten bis Werkzeug steht!</w:t>
            </w:r>
          </w:p>
          <w:p w:rsidR="00500252" w:rsidRPr="00431DCB" w:rsidRDefault="00500252" w:rsidP="00500252">
            <w:pPr>
              <w:pStyle w:val="Textkrper"/>
              <w:numPr>
                <w:ilvl w:val="0"/>
                <w:numId w:val="21"/>
              </w:numPr>
              <w:rPr>
                <w:sz w:val="20"/>
              </w:rPr>
            </w:pPr>
            <w:r w:rsidRPr="00500252">
              <w:rPr>
                <w:sz w:val="20"/>
                <w:szCs w:val="20"/>
              </w:rPr>
              <w:t>Beim Arbeiten am Werkzeug immer Schutzhandschuhe tragen!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500252" w:rsidRPr="001821AB" w:rsidRDefault="00500252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Pr="00500252" w:rsidRDefault="00AA16CD" w:rsidP="00500252">
            <w:pPr>
              <w:spacing w:after="60"/>
              <w:ind w:left="36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500252" w:rsidRPr="00500252" w:rsidRDefault="00500252" w:rsidP="00500252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Vor jedem Einsatz die Funktion und Sicherheitsei</w:t>
            </w:r>
            <w:r>
              <w:rPr>
                <w:sz w:val="20"/>
              </w:rPr>
              <w:t>nrichtungen der Maschine prüfen</w:t>
            </w:r>
          </w:p>
          <w:p w:rsidR="00500252" w:rsidRPr="00500252" w:rsidRDefault="00500252" w:rsidP="00500252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Vorgaben des Herstellers bz</w:t>
            </w:r>
            <w:r>
              <w:rPr>
                <w:sz w:val="20"/>
              </w:rPr>
              <w:t>gl. Wartung und Pflege beachten</w:t>
            </w:r>
          </w:p>
          <w:p w:rsidR="00500252" w:rsidRPr="00500252" w:rsidRDefault="00500252" w:rsidP="00500252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Reparaturen nur von Sachkundigen durchführen lassen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</w:p>
    <w:sectPr w:rsidR="00AA16CD">
      <w:footerReference w:type="default" r:id="rId20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D27FC6">
      <w:rPr>
        <w:noProof/>
        <w:sz w:val="18"/>
      </w:rPr>
      <w:t>5109_FB_BA_Freischneider_Version 1.0_2020-01-22.docx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3"/>
  </w:num>
  <w:num w:numId="5">
    <w:abstractNumId w:val="9"/>
  </w:num>
  <w:num w:numId="6">
    <w:abstractNumId w:val="4"/>
  </w:num>
  <w:num w:numId="7">
    <w:abstractNumId w:val="24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821AB"/>
    <w:rsid w:val="00214735"/>
    <w:rsid w:val="00431DCB"/>
    <w:rsid w:val="004B5721"/>
    <w:rsid w:val="00500252"/>
    <w:rsid w:val="00532F8D"/>
    <w:rsid w:val="006D0DAF"/>
    <w:rsid w:val="00761960"/>
    <w:rsid w:val="008D1DD4"/>
    <w:rsid w:val="008D7C23"/>
    <w:rsid w:val="00A32EEB"/>
    <w:rsid w:val="00A501C1"/>
    <w:rsid w:val="00A60A53"/>
    <w:rsid w:val="00AA16CD"/>
    <w:rsid w:val="00D27FC6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DE33E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de/aclk?sa=l&amp;ai=DChcSEwjk6OXh15bnAhWLse0KHYIJBssYABADGgJkZw&amp;sig=AOD64_2Ukuu57m8tuaMOzZhtuKPCGAp3ng&amp;ctype=5&amp;rct=j&amp;q=&amp;ved=0ahUKEwif-OHh15bnAhVLXsAKHS6GCeMQvhcIUw&amp;adurl=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google.de/aclk?sa=l&amp;ai=DChcSEwjV5dPJ3pbnAhVBzBgKHQ4ZC2sYABADGgJsZQ&amp;sig=AOD64_2P-Xwb_Vk5gsjaFuJg5g-8E4RYYg&amp;ctype=5&amp;rct=j&amp;q=&amp;ved=0ahUKEwiT7M_J3pbnAhVN2aYKHVJkCjgQvhcIWQ&amp;adurl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BD4691E.dotm</Template>
  <TotalTime>0</TotalTime>
  <Pages>2</Pages>
  <Words>257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8</cp:revision>
  <cp:lastPrinted>2020-01-15T14:23:00Z</cp:lastPrinted>
  <dcterms:created xsi:type="dcterms:W3CDTF">2020-01-15T14:09:00Z</dcterms:created>
  <dcterms:modified xsi:type="dcterms:W3CDTF">2020-01-22T08:03:00Z</dcterms:modified>
</cp:coreProperties>
</file>