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9C4CEC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Elektrische Handwerkzeuge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9C4CEC">
            <w:pPr>
              <w:pStyle w:val="berschrift1"/>
              <w:rPr>
                <w:b w:val="0"/>
                <w:sz w:val="28"/>
                <w:szCs w:val="28"/>
              </w:rPr>
            </w:pPr>
            <w:r w:rsidRPr="009C4CEC">
              <w:rPr>
                <w:b w:val="0"/>
                <w:sz w:val="28"/>
                <w:szCs w:val="28"/>
              </w:rPr>
              <w:t xml:space="preserve">Arbeiten mit </w:t>
            </w:r>
            <w:r w:rsidR="009C4CEC" w:rsidRPr="009C4CEC">
              <w:rPr>
                <w:b w:val="0"/>
                <w:sz w:val="28"/>
                <w:szCs w:val="28"/>
              </w:rPr>
              <w:t>elektrischen Handwerkzeugen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9C4CEC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4E65A80C" wp14:editId="2CECC521">
                  <wp:extent cx="559377" cy="485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1" cy="4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elektrischer Strom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wegfliegende Werkstücke</w:t>
            </w:r>
            <w:r w:rsidRPr="009C4CEC">
              <w:rPr>
                <w:sz w:val="20"/>
              </w:rPr>
              <w:t xml:space="preserve"> 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auß</w:t>
            </w:r>
            <w:r>
              <w:rPr>
                <w:sz w:val="20"/>
              </w:rPr>
              <w:t>er Kontrolle geratenes Werkzeug</w:t>
            </w:r>
            <w:r w:rsidRPr="009C4CEC">
              <w:rPr>
                <w:sz w:val="20"/>
              </w:rPr>
              <w:t xml:space="preserve"> 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Schneiden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Quetschen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herabfallende Werkstücke</w:t>
            </w:r>
          </w:p>
          <w:p w:rsidR="009C4CEC" w:rsidRPr="009C4CEC" w:rsidRDefault="009C4CEC" w:rsidP="009C4CEC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 xml:space="preserve">Aufwickeln durch drehende Werkzeuge, </w:t>
            </w:r>
          </w:p>
          <w:p w:rsidR="009C4CEC" w:rsidRPr="00431DCB" w:rsidRDefault="009C4CEC" w:rsidP="009C4CEC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9C4CEC">
              <w:rPr>
                <w:sz w:val="20"/>
              </w:rPr>
              <w:t>Lärm und Staub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00C5A3" wp14:editId="68AAE22B">
                  <wp:extent cx="540000" cy="540000"/>
                  <wp:effectExtent l="0" t="0" r="0" b="0"/>
                  <wp:docPr id="7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9C4CEC" w:rsidP="00F10DF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561975" cy="561975"/>
                  <wp:effectExtent l="0" t="0" r="9525" b="9525"/>
                  <wp:docPr id="10" name="Grafik 10" descr="C:\Users\michele.ruschke\AppData\Local\Microsoft\Windows\INetCache\Content.MSO\DD43D2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DD43D2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AA16CD" w:rsidP="00F10DF2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Es darf nur zweckentsprechendes und überprüftes Handgerät und Zubehör verwendet werden.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Vor der Benutzung eines neuen Geräts die Gebrauchsanweisung lesen und beachten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In elektrischen Handmaschinen nur die dafür zugelassenen Werkzeuge einspannen (z.B. bei Schleif- und Trennscheiben)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Elektrische Betriebsmittel nur bei sicherem Stand und noch zu bewältigendem Drehmoment mit beiden Händen führen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Schutzeinrichtungen nicht abmontieren oder blockieren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In explosionsgefährdeten Räumen und Bereichen nur Ex-geschützte Maschinen benutzen</w:t>
            </w:r>
          </w:p>
          <w:p w:rsidR="009C4CEC" w:rsidRPr="009C4CEC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 xml:space="preserve">Enganliegende Arbeitskleidung tragen. </w:t>
            </w:r>
          </w:p>
          <w:p w:rsidR="009C4CEC" w:rsidRPr="00431DCB" w:rsidRDefault="009C4CEC" w:rsidP="009C4CEC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C4CEC">
              <w:rPr>
                <w:sz w:val="20"/>
              </w:rPr>
              <w:t>Je nach Arbeitsumgebung persönliche Schutzausrüstung benutzen: Schutzhelm, Schutzschuhe, Gehörschutz, Schutzbrille, Handschuhe (nicht bei drehenden Werkzeugen) etc.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9C4CEC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CC02DF" wp14:editId="5796EFF0">
                  <wp:extent cx="638175" cy="638175"/>
                  <wp:effectExtent l="0" t="0" r="9525" b="9525"/>
                  <wp:docPr id="1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F10DF2" w:rsidRDefault="001821AB" w:rsidP="00C50674">
            <w:pPr>
              <w:pStyle w:val="Textkrper"/>
              <w:numPr>
                <w:ilvl w:val="0"/>
                <w:numId w:val="21"/>
              </w:numPr>
              <w:spacing w:afterLines="60" w:after="144"/>
              <w:ind w:left="357" w:hanging="357"/>
              <w:rPr>
                <w:sz w:val="20"/>
                <w:szCs w:val="20"/>
              </w:rPr>
            </w:pPr>
            <w:r w:rsidRPr="00F10DF2">
              <w:rPr>
                <w:sz w:val="20"/>
                <w:szCs w:val="20"/>
              </w:rPr>
              <w:t xml:space="preserve">Bei Störungen oder Schäden an Maschinen oder Schutzausrüstungen Maschine ausschalten und vor unbefugtem </w:t>
            </w:r>
            <w:bookmarkStart w:id="0" w:name="_GoBack"/>
            <w:r w:rsidRPr="00F10DF2">
              <w:rPr>
                <w:sz w:val="20"/>
                <w:szCs w:val="20"/>
              </w:rPr>
              <w:t>Wiederanschalten sichern</w:t>
            </w:r>
          </w:p>
          <w:p w:rsidR="00AA16CD" w:rsidRPr="00431DCB" w:rsidRDefault="001821AB" w:rsidP="00C50674">
            <w:pPr>
              <w:numPr>
                <w:ilvl w:val="0"/>
                <w:numId w:val="21"/>
              </w:numPr>
              <w:spacing w:afterLines="60" w:after="144"/>
              <w:ind w:left="357" w:hanging="357"/>
              <w:rPr>
                <w:sz w:val="20"/>
              </w:rPr>
            </w:pPr>
            <w:r w:rsidRPr="001821AB">
              <w:rPr>
                <w:sz w:val="20"/>
              </w:rPr>
              <w:t>Schäden nur von Fachpersonal beseitigen lassen</w:t>
            </w:r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Mängel an</w:t>
            </w:r>
            <w:r>
              <w:rPr>
                <w:sz w:val="20"/>
              </w:rPr>
              <w:t xml:space="preserve"> der Maschine sind umgehend zu melden</w:t>
            </w:r>
          </w:p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Instandsetzung nur durch beauft</w:t>
            </w:r>
            <w:r>
              <w:rPr>
                <w:sz w:val="20"/>
              </w:rPr>
              <w:t>ragte und unterwiesene Personen</w:t>
            </w:r>
          </w:p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Bei Rüst- Einstellungs-, Wartungs- und Pflegearbeiten Maschine vom Netz trennen bzw. sichern</w:t>
            </w:r>
          </w:p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Maschine nach Arbeitsende reinigen</w:t>
            </w:r>
          </w:p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Es ist zu gewährleisten, dass nur geprüfte elektrische Handmaschinen verwendet werden</w:t>
            </w:r>
          </w:p>
          <w:p w:rsidR="006A3181" w:rsidRPr="006A3181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 xml:space="preserve">Die Nichtbeachtung kann juristische Folgen für Mensch und Umwelt </w:t>
            </w:r>
            <w:r>
              <w:rPr>
                <w:sz w:val="20"/>
              </w:rPr>
              <w:t>zur Folge haben</w:t>
            </w:r>
          </w:p>
          <w:p w:rsidR="006A3181" w:rsidRPr="00431DCB" w:rsidRDefault="006A3181" w:rsidP="006A3181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A3181">
              <w:rPr>
                <w:sz w:val="20"/>
              </w:rPr>
              <w:t>Das Nichtbeachten dieser Anweisung ist ein Verstoß gegen gegebene Weisungen und wird entsprechend geahndet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</w:p>
    <w:sectPr w:rsidR="00AA16CD">
      <w:footerReference w:type="default" r:id="rId14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6A3181">
      <w:rPr>
        <w:noProof/>
        <w:sz w:val="18"/>
      </w:rPr>
      <w:t>5106_FB_BA_elektrische Handwerkzeuge_Version 1.0_2020-01-22.docx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AA9"/>
    <w:multiLevelType w:val="hybridMultilevel"/>
    <w:tmpl w:val="C304079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3B08C4"/>
    <w:multiLevelType w:val="hybridMultilevel"/>
    <w:tmpl w:val="E5E4E4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F1D27"/>
    <w:multiLevelType w:val="hybridMultilevel"/>
    <w:tmpl w:val="19F41B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8"/>
  </w:num>
  <w:num w:numId="4">
    <w:abstractNumId w:val="16"/>
  </w:num>
  <w:num w:numId="5">
    <w:abstractNumId w:val="11"/>
  </w:num>
  <w:num w:numId="6">
    <w:abstractNumId w:val="6"/>
  </w:num>
  <w:num w:numId="7">
    <w:abstractNumId w:val="27"/>
  </w:num>
  <w:num w:numId="8">
    <w:abstractNumId w:val="19"/>
  </w:num>
  <w:num w:numId="9">
    <w:abstractNumId w:val="25"/>
  </w:num>
  <w:num w:numId="10">
    <w:abstractNumId w:val="23"/>
  </w:num>
  <w:num w:numId="11">
    <w:abstractNumId w:val="26"/>
  </w:num>
  <w:num w:numId="12">
    <w:abstractNumId w:val="9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17"/>
  </w:num>
  <w:num w:numId="21">
    <w:abstractNumId w:val="24"/>
  </w:num>
  <w:num w:numId="22">
    <w:abstractNumId w:val="7"/>
  </w:num>
  <w:num w:numId="23">
    <w:abstractNumId w:val="2"/>
  </w:num>
  <w:num w:numId="24">
    <w:abstractNumId w:val="18"/>
  </w:num>
  <w:num w:numId="25">
    <w:abstractNumId w:val="10"/>
  </w:num>
  <w:num w:numId="26">
    <w:abstractNumId w:val="14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720F4"/>
    <w:rsid w:val="000A2CC0"/>
    <w:rsid w:val="001821AB"/>
    <w:rsid w:val="00214735"/>
    <w:rsid w:val="00431DCB"/>
    <w:rsid w:val="004B5721"/>
    <w:rsid w:val="00532F8D"/>
    <w:rsid w:val="006A3181"/>
    <w:rsid w:val="006D0DAF"/>
    <w:rsid w:val="00761960"/>
    <w:rsid w:val="008D1DD4"/>
    <w:rsid w:val="009C4CEC"/>
    <w:rsid w:val="00A32EEB"/>
    <w:rsid w:val="00A501C1"/>
    <w:rsid w:val="00A60A53"/>
    <w:rsid w:val="00AA16CD"/>
    <w:rsid w:val="00C50674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8E086902.dotm</Template>
  <TotalTime>0</TotalTime>
  <Pages>2</Pages>
  <Words>274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4</cp:revision>
  <cp:lastPrinted>2020-01-15T14:23:00Z</cp:lastPrinted>
  <dcterms:created xsi:type="dcterms:W3CDTF">2020-01-22T07:05:00Z</dcterms:created>
  <dcterms:modified xsi:type="dcterms:W3CDTF">2020-01-22T07:55:00Z</dcterms:modified>
</cp:coreProperties>
</file>